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D78" w:rsidRDefault="00357339" w:rsidP="00357339">
      <w:pPr>
        <w:pStyle w:val="Style3"/>
        <w:widowControl/>
        <w:spacing w:before="218" w:line="239" w:lineRule="exact"/>
        <w:ind w:left="360"/>
        <w:rPr>
          <w:rStyle w:val="FontStyle11"/>
        </w:rPr>
      </w:pPr>
      <w:r>
        <w:rPr>
          <w:rStyle w:val="FontStyle11"/>
        </w:rPr>
        <w:t>Wiata na „ogień</w:t>
      </w:r>
      <w:r w:rsidR="00CE0D78">
        <w:rPr>
          <w:rStyle w:val="FontStyle11"/>
        </w:rPr>
        <w:t>"</w:t>
      </w:r>
    </w:p>
    <w:p w:rsidR="00357339" w:rsidRDefault="00357339" w:rsidP="00357339">
      <w:pPr>
        <w:pStyle w:val="Style2"/>
        <w:widowControl/>
        <w:spacing w:line="239" w:lineRule="exact"/>
        <w:ind w:right="1382"/>
        <w:jc w:val="left"/>
        <w:rPr>
          <w:rStyle w:val="FontStyle12"/>
        </w:rPr>
      </w:pPr>
      <w:r>
        <w:rPr>
          <w:rStyle w:val="FontStyle12"/>
        </w:rPr>
        <w:t>Przeznaczeniem wiaty jest umożliwienie organizowania imprez przy ognisku. Rozwiązania materiałowe elementów nośnych.</w:t>
      </w:r>
    </w:p>
    <w:p w:rsidR="00357339" w:rsidRDefault="00357339" w:rsidP="00357339">
      <w:pPr>
        <w:pStyle w:val="Style4"/>
        <w:widowControl/>
        <w:numPr>
          <w:ilvl w:val="0"/>
          <w:numId w:val="2"/>
        </w:numPr>
        <w:tabs>
          <w:tab w:val="left" w:pos="144"/>
        </w:tabs>
        <w:spacing w:line="239" w:lineRule="exact"/>
        <w:rPr>
          <w:rStyle w:val="FontStyle12"/>
        </w:rPr>
      </w:pPr>
      <w:r>
        <w:rPr>
          <w:rStyle w:val="FontStyle12"/>
        </w:rPr>
        <w:t xml:space="preserve">Fundamenty w zależności od lokalizacji obiektu w przypadku podłoża sypkiego - wylewane żelbetowe z betonu B 20 zbrojone stal A - </w:t>
      </w:r>
      <w:proofErr w:type="gramStart"/>
      <w:r>
        <w:rPr>
          <w:rStyle w:val="FontStyle12"/>
        </w:rPr>
        <w:t xml:space="preserve">O , </w:t>
      </w:r>
      <w:proofErr w:type="gramEnd"/>
      <w:r>
        <w:rPr>
          <w:rStyle w:val="FontStyle12"/>
        </w:rPr>
        <w:t>A - III na podkładzie z chudego betonu B 7, 5 w przypadku podłoża skalnego betonowe z betony B25.</w:t>
      </w:r>
    </w:p>
    <w:p w:rsidR="00357339" w:rsidRDefault="00357339" w:rsidP="00357339">
      <w:pPr>
        <w:pStyle w:val="Style4"/>
        <w:widowControl/>
        <w:numPr>
          <w:ilvl w:val="0"/>
          <w:numId w:val="2"/>
        </w:numPr>
        <w:tabs>
          <w:tab w:val="left" w:pos="144"/>
        </w:tabs>
        <w:spacing w:line="239" w:lineRule="exact"/>
        <w:rPr>
          <w:rStyle w:val="FontStyle12"/>
        </w:rPr>
      </w:pPr>
      <w:r>
        <w:rPr>
          <w:rStyle w:val="FontStyle12"/>
        </w:rPr>
        <w:t xml:space="preserve">Ściany fundamentowe - wylewane z betonu lub murowane z bloczków betonowych pełnych </w:t>
      </w:r>
      <w:proofErr w:type="spellStart"/>
      <w:r>
        <w:rPr>
          <w:rStyle w:val="FontStyle12"/>
        </w:rPr>
        <w:t>kl</w:t>
      </w:r>
      <w:proofErr w:type="spellEnd"/>
      <w:r>
        <w:rPr>
          <w:rStyle w:val="FontStyle12"/>
        </w:rPr>
        <w:t xml:space="preserve"> 15 na zaprawie cementowej 8, zabezpieczoną izolacją wodochronną. W części nadziemnej murów oblicówka z kamieni piaskowcowych gr. ok. 12 </w:t>
      </w:r>
      <w:proofErr w:type="spellStart"/>
      <w:r>
        <w:rPr>
          <w:rStyle w:val="FontStyle12"/>
        </w:rPr>
        <w:t>cm</w:t>
      </w:r>
      <w:proofErr w:type="spellEnd"/>
      <w:r>
        <w:rPr>
          <w:rStyle w:val="FontStyle12"/>
        </w:rPr>
        <w:t>.</w:t>
      </w:r>
    </w:p>
    <w:p w:rsidR="00357339" w:rsidRDefault="00357339" w:rsidP="00357339">
      <w:pPr>
        <w:pStyle w:val="Style4"/>
        <w:widowControl/>
        <w:numPr>
          <w:ilvl w:val="0"/>
          <w:numId w:val="2"/>
        </w:numPr>
        <w:tabs>
          <w:tab w:val="left" w:pos="144"/>
        </w:tabs>
        <w:spacing w:line="239" w:lineRule="exact"/>
        <w:rPr>
          <w:rStyle w:val="FontStyle12"/>
        </w:rPr>
      </w:pPr>
      <w:r>
        <w:rPr>
          <w:rStyle w:val="FontStyle12"/>
        </w:rPr>
        <w:t>Konstrukcja nadziemna w postaci konstrukcji słupowo ryglowej z zastrzałami oraz więźba dachowa z drewna klejonego.</w:t>
      </w:r>
    </w:p>
    <w:p w:rsidR="00357339" w:rsidRDefault="00357339" w:rsidP="00357339">
      <w:pPr>
        <w:widowControl/>
        <w:rPr>
          <w:sz w:val="2"/>
          <w:szCs w:val="2"/>
        </w:rPr>
      </w:pPr>
    </w:p>
    <w:p w:rsidR="00357339" w:rsidRDefault="00357339" w:rsidP="00357339">
      <w:pPr>
        <w:pStyle w:val="Style4"/>
        <w:widowControl/>
        <w:numPr>
          <w:ilvl w:val="0"/>
          <w:numId w:val="3"/>
        </w:numPr>
        <w:tabs>
          <w:tab w:val="left" w:pos="711"/>
        </w:tabs>
        <w:spacing w:before="9" w:line="239" w:lineRule="exact"/>
        <w:ind w:left="369"/>
        <w:jc w:val="left"/>
        <w:rPr>
          <w:rStyle w:val="FontStyle12"/>
        </w:rPr>
      </w:pPr>
      <w:proofErr w:type="gramStart"/>
      <w:r>
        <w:rPr>
          <w:rStyle w:val="FontStyle12"/>
        </w:rPr>
        <w:t>klasa</w:t>
      </w:r>
      <w:proofErr w:type="gramEnd"/>
      <w:r>
        <w:rPr>
          <w:rStyle w:val="FontStyle12"/>
        </w:rPr>
        <w:t xml:space="preserve"> drewna GL 24,</w:t>
      </w:r>
    </w:p>
    <w:p w:rsidR="00CE0D78" w:rsidRDefault="00357339" w:rsidP="00CE0D78">
      <w:pPr>
        <w:pStyle w:val="Style4"/>
        <w:widowControl/>
        <w:numPr>
          <w:ilvl w:val="0"/>
          <w:numId w:val="4"/>
        </w:numPr>
        <w:tabs>
          <w:tab w:val="left" w:pos="671"/>
        </w:tabs>
        <w:spacing w:line="240" w:lineRule="auto"/>
        <w:ind w:left="331"/>
        <w:rPr>
          <w:rStyle w:val="FontStyle12"/>
        </w:rPr>
      </w:pPr>
      <w:proofErr w:type="gramStart"/>
      <w:r>
        <w:rPr>
          <w:rStyle w:val="FontStyle12"/>
        </w:rPr>
        <w:t>klej</w:t>
      </w:r>
      <w:proofErr w:type="gramEnd"/>
      <w:r>
        <w:rPr>
          <w:rStyle w:val="FontStyle12"/>
        </w:rPr>
        <w:t xml:space="preserve"> rezorcynowy </w:t>
      </w:r>
      <w:r w:rsidR="00CE0D78">
        <w:rPr>
          <w:rStyle w:val="FontStyle12"/>
        </w:rPr>
        <w:t>drewno modrzewiowe,</w:t>
      </w:r>
    </w:p>
    <w:p w:rsidR="00CE0D78" w:rsidRDefault="00CE0D78" w:rsidP="00CE0D78">
      <w:pPr>
        <w:pStyle w:val="Style4"/>
        <w:widowControl/>
        <w:numPr>
          <w:ilvl w:val="0"/>
          <w:numId w:val="4"/>
        </w:numPr>
        <w:tabs>
          <w:tab w:val="left" w:pos="671"/>
        </w:tabs>
        <w:spacing w:before="20" w:line="240" w:lineRule="auto"/>
        <w:ind w:left="331"/>
        <w:rPr>
          <w:rStyle w:val="FontStyle12"/>
        </w:rPr>
      </w:pPr>
      <w:proofErr w:type="gramStart"/>
      <w:r>
        <w:rPr>
          <w:rStyle w:val="FontStyle12"/>
        </w:rPr>
        <w:t>drewno</w:t>
      </w:r>
      <w:proofErr w:type="gramEnd"/>
      <w:r>
        <w:rPr>
          <w:rStyle w:val="FontStyle12"/>
        </w:rPr>
        <w:t xml:space="preserve"> zaimpregnowane preparatem bezbarwnym bez pigmentu,</w:t>
      </w:r>
    </w:p>
    <w:p w:rsidR="00CE0D78" w:rsidRDefault="00CE0D78" w:rsidP="00CE0D78">
      <w:pPr>
        <w:pStyle w:val="Style4"/>
        <w:widowControl/>
        <w:numPr>
          <w:ilvl w:val="0"/>
          <w:numId w:val="4"/>
        </w:numPr>
        <w:tabs>
          <w:tab w:val="left" w:pos="671"/>
        </w:tabs>
        <w:spacing w:before="23" w:line="236" w:lineRule="exact"/>
        <w:ind w:left="331"/>
        <w:rPr>
          <w:rStyle w:val="FontStyle12"/>
        </w:rPr>
      </w:pPr>
      <w:proofErr w:type="gramStart"/>
      <w:r>
        <w:rPr>
          <w:rStyle w:val="FontStyle12"/>
        </w:rPr>
        <w:t>należy</w:t>
      </w:r>
      <w:proofErr w:type="gramEnd"/>
      <w:r>
        <w:rPr>
          <w:rStyle w:val="FontStyle12"/>
        </w:rPr>
        <w:t xml:space="preserve"> stosować przekładki na styku z innymi materiałami (folia budowlana lub guma)</w:t>
      </w:r>
    </w:p>
    <w:p w:rsidR="00CE0D78" w:rsidRDefault="00CE0D78" w:rsidP="00CE0D78">
      <w:pPr>
        <w:widowControl/>
        <w:jc w:val="both"/>
        <w:rPr>
          <w:sz w:val="2"/>
          <w:szCs w:val="2"/>
        </w:rPr>
      </w:pPr>
    </w:p>
    <w:p w:rsidR="00CE0D78" w:rsidRDefault="00CE0D78" w:rsidP="00CE0D78">
      <w:pPr>
        <w:pStyle w:val="Style4"/>
        <w:widowControl/>
        <w:numPr>
          <w:ilvl w:val="0"/>
          <w:numId w:val="1"/>
        </w:numPr>
        <w:tabs>
          <w:tab w:val="left" w:pos="135"/>
        </w:tabs>
        <w:spacing w:line="239" w:lineRule="exact"/>
        <w:ind w:right="17"/>
        <w:rPr>
          <w:rStyle w:val="FontStyle12"/>
        </w:rPr>
      </w:pPr>
      <w:r>
        <w:rPr>
          <w:rStyle w:val="FontStyle12"/>
        </w:rPr>
        <w:t>Łączenie elementów drewnianych typowymi złączami ciesielskimi do drewna zapewniającymi trwałe utrzymanie odpowiedniego kąta.</w:t>
      </w:r>
    </w:p>
    <w:p w:rsidR="00CE0D78" w:rsidRDefault="00CE0D78" w:rsidP="00CE0D78">
      <w:pPr>
        <w:pStyle w:val="Style4"/>
        <w:widowControl/>
        <w:numPr>
          <w:ilvl w:val="0"/>
          <w:numId w:val="5"/>
        </w:numPr>
        <w:tabs>
          <w:tab w:val="left" w:pos="135"/>
        </w:tabs>
        <w:spacing w:before="6" w:line="236" w:lineRule="exact"/>
        <w:ind w:right="32"/>
        <w:rPr>
          <w:rStyle w:val="FontStyle12"/>
        </w:rPr>
      </w:pPr>
      <w:r>
        <w:rPr>
          <w:rStyle w:val="FontStyle12"/>
        </w:rPr>
        <w:t xml:space="preserve">Pokrycie dachu gontem modrzewiowym na podkładzie z płyt OSB lub opcjonalnie z desek modrzewiowych na łatach drewnianych 40/40 </w:t>
      </w:r>
      <w:proofErr w:type="spellStart"/>
      <w:r>
        <w:rPr>
          <w:rStyle w:val="FontStyle12"/>
        </w:rPr>
        <w:t>mm</w:t>
      </w:r>
      <w:proofErr w:type="spellEnd"/>
      <w:r>
        <w:rPr>
          <w:rStyle w:val="FontStyle12"/>
        </w:rPr>
        <w:t>. Pomiędzy warstwami wykonać izolację z papy bitumicznej.</w:t>
      </w:r>
    </w:p>
    <w:p w:rsidR="00CE0D78" w:rsidRDefault="00CE0D78" w:rsidP="00CE0D78">
      <w:pPr>
        <w:pStyle w:val="Style4"/>
        <w:widowControl/>
        <w:numPr>
          <w:ilvl w:val="0"/>
          <w:numId w:val="5"/>
        </w:numPr>
        <w:tabs>
          <w:tab w:val="left" w:pos="135"/>
        </w:tabs>
        <w:spacing w:line="236" w:lineRule="exact"/>
        <w:rPr>
          <w:rStyle w:val="FontStyle12"/>
        </w:rPr>
      </w:pPr>
      <w:r>
        <w:rPr>
          <w:rStyle w:val="FontStyle12"/>
        </w:rPr>
        <w:t xml:space="preserve">Szczyty dachu oraz komin z desek modrzewiowych </w:t>
      </w:r>
      <w:proofErr w:type="spellStart"/>
      <w:r>
        <w:rPr>
          <w:rStyle w:val="FontStyle12"/>
        </w:rPr>
        <w:t>gr</w:t>
      </w:r>
      <w:proofErr w:type="spellEnd"/>
      <w:r>
        <w:rPr>
          <w:rStyle w:val="FontStyle12"/>
        </w:rPr>
        <w:t xml:space="preserve"> 20 </w:t>
      </w:r>
      <w:proofErr w:type="spellStart"/>
      <w:r>
        <w:rPr>
          <w:rStyle w:val="FontStyle12"/>
        </w:rPr>
        <w:t>mm</w:t>
      </w:r>
      <w:proofErr w:type="spellEnd"/>
      <w:r>
        <w:rPr>
          <w:rStyle w:val="FontStyle12"/>
        </w:rPr>
        <w:t>.</w:t>
      </w:r>
    </w:p>
    <w:p w:rsidR="00CE0D78" w:rsidRDefault="00CE0D78" w:rsidP="00CE0D78">
      <w:pPr>
        <w:pStyle w:val="Style4"/>
        <w:widowControl/>
        <w:numPr>
          <w:ilvl w:val="0"/>
          <w:numId w:val="5"/>
        </w:numPr>
        <w:tabs>
          <w:tab w:val="left" w:pos="135"/>
        </w:tabs>
        <w:spacing w:before="6" w:line="236" w:lineRule="exact"/>
        <w:ind w:right="37"/>
        <w:rPr>
          <w:rStyle w:val="FontStyle12"/>
        </w:rPr>
      </w:pPr>
      <w:r>
        <w:rPr>
          <w:rStyle w:val="FontStyle12"/>
        </w:rPr>
        <w:t xml:space="preserve">Podłogę wykonać z kamienia piaskowcowego wypełnionego gruzem kamiennym na podkładzie z piasku </w:t>
      </w:r>
      <w:proofErr w:type="spellStart"/>
      <w:r>
        <w:rPr>
          <w:rStyle w:val="FontStyle12"/>
        </w:rPr>
        <w:t>gr</w:t>
      </w:r>
      <w:proofErr w:type="spellEnd"/>
      <w:r>
        <w:rPr>
          <w:rStyle w:val="FontStyle12"/>
        </w:rPr>
        <w:t xml:space="preserve"> 15 </w:t>
      </w:r>
      <w:proofErr w:type="spellStart"/>
      <w:r>
        <w:rPr>
          <w:rStyle w:val="FontStyle12"/>
        </w:rPr>
        <w:t>cm</w:t>
      </w:r>
      <w:proofErr w:type="spellEnd"/>
      <w:r>
        <w:rPr>
          <w:rStyle w:val="FontStyle12"/>
        </w:rPr>
        <w:t>.</w:t>
      </w:r>
    </w:p>
    <w:p w:rsidR="00CE0D78" w:rsidRDefault="00CE0D78" w:rsidP="00CE0D78">
      <w:pPr>
        <w:pStyle w:val="Style4"/>
        <w:widowControl/>
        <w:numPr>
          <w:ilvl w:val="0"/>
          <w:numId w:val="5"/>
        </w:numPr>
        <w:tabs>
          <w:tab w:val="left" w:pos="135"/>
        </w:tabs>
        <w:spacing w:line="236" w:lineRule="exact"/>
        <w:rPr>
          <w:rStyle w:val="FontStyle12"/>
        </w:rPr>
      </w:pPr>
      <w:r>
        <w:rPr>
          <w:rStyle w:val="FontStyle12"/>
        </w:rPr>
        <w:t>W centralnej części wiaty należy wykonać krąg z głazów kamiennych na ognisko.</w:t>
      </w:r>
    </w:p>
    <w:p w:rsidR="00357339" w:rsidRDefault="00357339" w:rsidP="00CE0D78">
      <w:pPr>
        <w:pStyle w:val="Style4"/>
        <w:widowControl/>
        <w:numPr>
          <w:ilvl w:val="0"/>
          <w:numId w:val="3"/>
        </w:numPr>
        <w:tabs>
          <w:tab w:val="left" w:pos="711"/>
        </w:tabs>
        <w:spacing w:before="3" w:line="239" w:lineRule="exact"/>
        <w:ind w:left="369"/>
        <w:jc w:val="left"/>
        <w:rPr>
          <w:rStyle w:val="FontStyle12"/>
        </w:rPr>
        <w:sectPr w:rsidR="00357339" w:rsidSect="00357339">
          <w:pgSz w:w="11905" w:h="16837"/>
          <w:pgMar w:top="1672" w:right="1815" w:bottom="1440" w:left="1553" w:header="708" w:footer="708" w:gutter="0"/>
          <w:cols w:space="60"/>
          <w:noEndnote/>
        </w:sectPr>
      </w:pPr>
      <w:r>
        <w:rPr>
          <w:rStyle w:val="FontStyle12"/>
        </w:rPr>
        <w:t>lub inny wodoodporny do drewna</w:t>
      </w:r>
    </w:p>
    <w:p w:rsidR="00357339" w:rsidRDefault="00357339"/>
    <w:sectPr w:rsidR="00357339" w:rsidSect="001F0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4A43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1"/>
        <w:lvlJc w:val="left"/>
        <w:rPr>
          <w:rFonts w:ascii="Microsoft Sans Serif" w:hAnsi="Microsoft Sans Serif" w:cs="Microsoft Sans Serif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Microsoft Sans Serif" w:hAnsi="Microsoft Sans Serif" w:cs="Microsoft Sans Serif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2"/>
        <w:lvlJc w:val="left"/>
        <w:rPr>
          <w:rFonts w:ascii="Microsoft Sans Serif" w:hAnsi="Microsoft Sans Serif" w:cs="Microsoft Sans Serif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Microsoft Sans Serif" w:hAnsi="Microsoft Sans Serif" w:cs="Microsoft Sans Serif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Microsoft Sans Serif" w:hAnsi="Microsoft Sans Serif" w:cs="Microsoft Sans Serif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57339"/>
    <w:rsid w:val="001F07F5"/>
    <w:rsid w:val="00357339"/>
    <w:rsid w:val="00CE0D78"/>
    <w:rsid w:val="00D5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339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357339"/>
    <w:pPr>
      <w:spacing w:line="236" w:lineRule="exact"/>
      <w:jc w:val="both"/>
    </w:pPr>
  </w:style>
  <w:style w:type="paragraph" w:customStyle="1" w:styleId="Style3">
    <w:name w:val="Style3"/>
    <w:basedOn w:val="Normalny"/>
    <w:uiPriority w:val="99"/>
    <w:rsid w:val="00357339"/>
    <w:pPr>
      <w:spacing w:line="236" w:lineRule="exact"/>
    </w:pPr>
  </w:style>
  <w:style w:type="paragraph" w:customStyle="1" w:styleId="Style4">
    <w:name w:val="Style4"/>
    <w:basedOn w:val="Normalny"/>
    <w:uiPriority w:val="99"/>
    <w:rsid w:val="00357339"/>
    <w:pPr>
      <w:spacing w:line="238" w:lineRule="exact"/>
      <w:jc w:val="both"/>
    </w:pPr>
  </w:style>
  <w:style w:type="character" w:customStyle="1" w:styleId="FontStyle11">
    <w:name w:val="Font Style11"/>
    <w:uiPriority w:val="99"/>
    <w:rsid w:val="00357339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12">
    <w:name w:val="Font Style12"/>
    <w:uiPriority w:val="99"/>
    <w:rsid w:val="00357339"/>
    <w:rPr>
      <w:rFonts w:ascii="Microsoft Sans Serif" w:hAnsi="Microsoft Sans Serif" w:cs="Microsoft Sans Seri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Darek</cp:lastModifiedBy>
  <cp:revision>2</cp:revision>
  <dcterms:created xsi:type="dcterms:W3CDTF">2018-07-04T07:36:00Z</dcterms:created>
  <dcterms:modified xsi:type="dcterms:W3CDTF">2018-07-04T07:41:00Z</dcterms:modified>
</cp:coreProperties>
</file>